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2017年度政府信息公开分项统计表</w:t>
      </w:r>
    </w:p>
    <w:p>
      <w:pPr>
        <w:rPr>
          <w:color w:val="000000"/>
          <w:szCs w:val="22"/>
        </w:rPr>
      </w:pPr>
      <w:r>
        <w:rPr>
          <w:rFonts w:eastAsia="方正仿宋简体"/>
          <w:color w:val="000000"/>
          <w:sz w:val="30"/>
          <w:szCs w:val="30"/>
        </w:rPr>
        <w:t>填报单位：</w:t>
      </w:r>
      <w:r>
        <w:rPr>
          <w:rFonts w:hint="eastAsia" w:eastAsia="方正仿宋简体"/>
          <w:color w:val="000000"/>
          <w:sz w:val="30"/>
          <w:szCs w:val="30"/>
        </w:rPr>
        <w:t>眉山市东坡区财政局</w:t>
      </w:r>
      <w:r>
        <w:rPr>
          <w:rFonts w:eastAsia="方正仿宋简体"/>
          <w:color w:val="000000"/>
          <w:sz w:val="30"/>
          <w:szCs w:val="30"/>
        </w:rPr>
        <w:t xml:space="preserve">             </w:t>
      </w:r>
    </w:p>
    <w:tbl>
      <w:tblPr>
        <w:tblStyle w:val="4"/>
        <w:tblW w:w="92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16"/>
        <w:gridCol w:w="1032"/>
        <w:gridCol w:w="1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分项指标</w:t>
            </w:r>
          </w:p>
        </w:tc>
        <w:tc>
          <w:tcPr>
            <w:tcW w:w="105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一、主动公开政府信息情况</w:t>
            </w:r>
            <w:r>
              <w:rPr>
                <w:color w:val="000000"/>
                <w:kern w:val="0"/>
                <w:sz w:val="20"/>
              </w:rPr>
              <w:t>（同一条信息只能在以下8项中选择1项，不重复计算）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主动公开政府信息数</w:t>
            </w:r>
          </w:p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（与“总表”中的数据一致，应等于以下8项数据之和）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eastAsia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（一）概况信息数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（二）计划总结信息数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（三）规范性文件信息数（与“总表”中的数据一致）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（四）工作动态信息数 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（五）人事信息数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（六）财政信息数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（七）行政执法信息数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（八）其他信息数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widowControl/>
              <w:adjustRightInd w:val="0"/>
              <w:ind w:firstLine="201" w:firstLineChars="100"/>
              <w:jc w:val="center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二、重点领域信息公开情况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（一）行政权力清单公开情况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是否公开本级（本部门）行政权力清单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公开行政权力清单个数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个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行政审批信息公开数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条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行政处罚信息公开数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   条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（二）财政资金信息公开情况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财政预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算公开</w:t>
            </w:r>
          </w:p>
        </w:tc>
        <w:tc>
          <w:tcPr>
            <w:tcW w:w="521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是否公开本级（本部门）本年度预算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财政决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算公开</w:t>
            </w:r>
          </w:p>
        </w:tc>
        <w:tc>
          <w:tcPr>
            <w:tcW w:w="521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是否公开本级（本部门）上年度决算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“三公”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经费公开</w:t>
            </w:r>
          </w:p>
        </w:tc>
        <w:tc>
          <w:tcPr>
            <w:tcW w:w="521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是否公开本级（本部门）“三公”经费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Cs/>
                <w:color w:val="000000"/>
                <w:kern w:val="0"/>
                <w:sz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2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政府采购信息公开数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（三）公共资源配置信息公开情况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城镇保障性安居工程信息公开数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土地供应信息公开数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土地征收信息公开数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国有土地上房屋征收信息公开数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（四）重大建设项目信息公开情况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b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项目审批、核准、备案信息公开数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项目基本信息公开数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项目实施信息公开数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（五）公共服务信息公开情况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社会保险信息公开数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社会救助信息公开数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教育领域信息公开数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医疗卫生领域信息公开数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（六）国有企业信息公开情况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国有企业财务、运行情况、业绩考核等信息公开数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国有资产保值增值、改革重组信息公开数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国有企业负责人职务变动及招聘信息公开数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（七）环境保护信息公开情况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空气质量、水环境质量、污染物排放、污染源、建设项目环评等信息公开条数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是否发布环境重点监管对象名录                  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环境执法检查信息公开数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重点环境问题处理、整改信息公开数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突发环境事件信息公开数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核与辐射安全信息公开数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5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（八）食品药品安全信息公开情况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食品药品重大监管政策信息公开数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食品药品典型案件信息公开数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食品药品安全监督抽检抽验信息公开数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专项行动信息公开数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保健食品消费警示信息公开数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（九）社会组织、中介机构信息公开情况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社会组织信息公开数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行政审批前置服务社会组织和中介机构信息公开数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慈善组织信息公开数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（十）其他重点领域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安全生产信息公开数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就业信息公开数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财政审计信息公开数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科技管理和项目经费信息公开数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价格和收费信息公开数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信用信息公开数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条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/>
    <w:tbl>
      <w:tblPr>
        <w:tblStyle w:val="4"/>
        <w:tblW w:w="92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006"/>
        <w:gridCol w:w="1050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rPr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三、依申请公开情况</w:t>
            </w:r>
            <w:r>
              <w:rPr>
                <w:color w:val="000000"/>
                <w:kern w:val="0"/>
                <w:sz w:val="20"/>
              </w:rPr>
              <w:t>（同一条信息只能在以下5项中选择1项，不重复计算）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收到申请数</w:t>
            </w:r>
          </w:p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（与“总表”中的数据一致，应等于以下5项数据之和）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（一）土地征用和房屋拆迁类信息申请数 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（二）财政资金类信息申请数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（三）行政执法类信息申请数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（四）劳动就业和社会保障类信息申请数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26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（五）其他信息申请数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 w:val="20"/>
              </w:rPr>
              <w:t>件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212" w:type="dxa"/>
            <w:gridSpan w:val="4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四、信息公开载体建设情况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政务微博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本级（本部门）开设政务微博数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个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政务微信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本级（本部门）开设政务微信数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个</w:t>
            </w:r>
          </w:p>
        </w:tc>
        <w:tc>
          <w:tcPr>
            <w:tcW w:w="1893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政务服务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中心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信息公开查阅点个数 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个</w:t>
            </w:r>
          </w:p>
        </w:tc>
        <w:tc>
          <w:tcPr>
            <w:tcW w:w="189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全年接待公众查询人数 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人</w:t>
            </w:r>
          </w:p>
        </w:tc>
        <w:tc>
          <w:tcPr>
            <w:tcW w:w="1893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档案馆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信息公开查阅点个数 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个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全年接待公众查询人数 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人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图书馆</w:t>
            </w: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信息公开查阅点个数 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个</w:t>
            </w:r>
          </w:p>
        </w:tc>
        <w:tc>
          <w:tcPr>
            <w:tcW w:w="189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63" w:type="dxa"/>
            <w:vMerge w:val="continue"/>
            <w:shd w:val="clear" w:color="auto" w:fill="auto"/>
            <w:vAlign w:val="top"/>
          </w:tcPr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全年接待公众查询人数 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人</w:t>
            </w:r>
          </w:p>
        </w:tc>
        <w:tc>
          <w:tcPr>
            <w:tcW w:w="1893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spacing w:line="0" w:lineRule="atLeast"/>
              <w:jc w:val="center"/>
              <w:rPr>
                <w:rFonts w:eastAsia="仿宋_GB2312"/>
                <w:bCs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26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单位负责人：</w:t>
      </w:r>
      <w:r>
        <w:rPr>
          <w:rFonts w:hint="eastAsia"/>
          <w:color w:val="000000"/>
          <w:kern w:val="0"/>
          <w:szCs w:val="21"/>
        </w:rPr>
        <w:t>毛晓麟</w:t>
      </w:r>
      <w:r>
        <w:rPr>
          <w:color w:val="000000"/>
          <w:kern w:val="0"/>
          <w:szCs w:val="21"/>
        </w:rPr>
        <w:t>　　　 审核人：　　　　　　　　     填报人：</w:t>
      </w:r>
      <w:r>
        <w:rPr>
          <w:rFonts w:hint="eastAsia"/>
          <w:color w:val="000000"/>
          <w:kern w:val="0"/>
          <w:szCs w:val="21"/>
          <w:lang w:eastAsia="zh-CN"/>
        </w:rPr>
        <w:t>周伟</w:t>
      </w:r>
      <w:r>
        <w:rPr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 xml:space="preserve">   </w:t>
      </w:r>
    </w:p>
    <w:p>
      <w:pPr>
        <w:widowControl/>
        <w:adjustRightInd w:val="0"/>
        <w:snapToGrid w:val="0"/>
        <w:spacing w:line="326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联系电话：</w:t>
      </w:r>
      <w:r>
        <w:rPr>
          <w:rFonts w:hint="eastAsia"/>
          <w:color w:val="000000"/>
          <w:kern w:val="0"/>
          <w:szCs w:val="21"/>
        </w:rPr>
        <w:t>38105385</w:t>
      </w:r>
      <w:r>
        <w:rPr>
          <w:color w:val="000000"/>
          <w:kern w:val="0"/>
          <w:szCs w:val="21"/>
        </w:rPr>
        <w:t>　　　　　　　　　　　　　　　　　  填报日期：</w:t>
      </w:r>
      <w:r>
        <w:rPr>
          <w:rFonts w:hint="eastAsia"/>
          <w:color w:val="000000"/>
          <w:kern w:val="0"/>
          <w:szCs w:val="21"/>
        </w:rPr>
        <w:t>2017.2.15</w:t>
      </w:r>
    </w:p>
    <w:p>
      <w:pPr>
        <w:adjustRightInd w:val="0"/>
        <w:snapToGrid w:val="0"/>
        <w:jc w:val="left"/>
        <w:rPr>
          <w:b/>
          <w:color w:val="000000"/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>
      <w:pPr>
        <w:snapToGrid w:val="0"/>
        <w:ind w:firstLine="420" w:firstLineChars="200"/>
        <w:jc w:val="left"/>
        <w:rPr>
          <w:szCs w:val="21"/>
        </w:rPr>
      </w:pPr>
    </w:p>
    <w:p/>
    <w:sectPr>
      <w:footerReference r:id="rId3" w:type="default"/>
      <w:footerReference r:id="rId4" w:type="even"/>
      <w:pgSz w:w="11906" w:h="16838"/>
      <w:pgMar w:top="2098" w:right="1474" w:bottom="1928" w:left="1588" w:header="851" w:footer="170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                                                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4EE3"/>
    <w:rsid w:val="2A8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2018-02-13T02:09:00Z</dcterms:created>
  <dc:creator>眉山市东坡区财政局</dc:creator>
  <cp:lastModifiedBy>眉山市东坡区财政局</cp:lastModifiedBy>
  <dcterms:modified xsi:type="dcterms:W3CDTF">2018-02-13T02:10:53Z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