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10" w:lineRule="atLeast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年“三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公”经费预算财政拨款情况统计表</w:t>
      </w:r>
    </w:p>
    <w:p>
      <w:pPr>
        <w:widowControl/>
        <w:spacing w:line="51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单位：万元</w:t>
      </w:r>
    </w:p>
    <w:tbl>
      <w:tblPr>
        <w:tblStyle w:val="3"/>
        <w:tblW w:w="7680" w:type="dxa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5"/>
        <w:gridCol w:w="34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本年预算数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1、因公出国（境）费用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2、公务接待费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3、公务用车费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其中：（1）公务用车运行维护费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（2）公务用车购置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​0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1041B"/>
    <w:rsid w:val="1A1104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2018-02-09T02:10:00Z</dcterms:created>
  <dc:creator>代宜娟</dc:creator>
  <cp:lastModifiedBy>代宜娟</cp:lastModifiedBy>
  <dcterms:modified xsi:type="dcterms:W3CDTF">2018-02-09T02:11:57Z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