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70" w:rsidRDefault="00771370" w:rsidP="00455B3F">
      <w:pPr>
        <w:widowControl/>
        <w:spacing w:line="580" w:lineRule="exact"/>
        <w:jc w:val="center"/>
        <w:rPr>
          <w:rFonts w:eastAsia="黑体"/>
          <w:kern w:val="0"/>
          <w:sz w:val="32"/>
          <w:szCs w:val="32"/>
        </w:rPr>
      </w:pPr>
    </w:p>
    <w:p w:rsidR="00455B3F" w:rsidRDefault="00455B3F" w:rsidP="00455B3F">
      <w:pPr>
        <w:widowControl/>
        <w:spacing w:line="580" w:lineRule="exact"/>
        <w:jc w:val="center"/>
        <w:rPr>
          <w:rFonts w:eastAsia="楷体_GB2312"/>
          <w:kern w:val="0"/>
          <w:sz w:val="32"/>
          <w:szCs w:val="32"/>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rsidR="00455B3F" w:rsidRDefault="00455B3F" w:rsidP="00455B3F">
      <w:pPr>
        <w:widowControl/>
        <w:spacing w:line="580" w:lineRule="exact"/>
        <w:ind w:firstLineChars="200" w:firstLine="420"/>
        <w:jc w:val="left"/>
        <w:rPr>
          <w:rFonts w:eastAsia="仿宋_GB2312"/>
          <w:kern w:val="0"/>
          <w:szCs w:val="21"/>
        </w:rPr>
      </w:pPr>
      <w:r>
        <w:rPr>
          <w:rFonts w:eastAsia="仿宋_GB2312" w:hint="eastAsia"/>
          <w:kern w:val="0"/>
          <w:szCs w:val="21"/>
        </w:rPr>
        <w:t>填报单位（盖章）：</w:t>
      </w:r>
      <w:r w:rsidR="005E0200">
        <w:rPr>
          <w:rFonts w:eastAsia="仿宋_GB2312" w:hint="eastAsia"/>
          <w:kern w:val="0"/>
          <w:szCs w:val="21"/>
        </w:rPr>
        <w:t>眉山“中国泡菜城”管委会</w:t>
      </w:r>
      <w:r>
        <w:rPr>
          <w:rFonts w:eastAsia="仿宋_GB2312"/>
          <w:kern w:val="0"/>
          <w:szCs w:val="21"/>
        </w:rPr>
        <w:t xml:space="preserve"> </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455B3F" w:rsidRPr="004D7CBC" w:rsidTr="0042671B">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AD0A41" w:rsidRDefault="00455B3F" w:rsidP="0042671B">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AD0A41" w:rsidRDefault="00455B3F" w:rsidP="0042671B">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AD0A41" w:rsidRDefault="00455B3F" w:rsidP="005E0200">
            <w:pPr>
              <w:widowControl/>
              <w:spacing w:line="340" w:lineRule="exact"/>
              <w:jc w:val="left"/>
              <w:rPr>
                <w:rFonts w:ascii="黑体" w:eastAsia="黑体" w:hAnsi="黑体"/>
                <w:kern w:val="0"/>
                <w:szCs w:val="21"/>
              </w:rPr>
            </w:pPr>
            <w:r w:rsidRPr="00AD0A41">
              <w:rPr>
                <w:rFonts w:ascii="黑体" w:eastAsia="黑体" w:hAnsi="黑体" w:hint="eastAsia"/>
                <w:kern w:val="0"/>
                <w:szCs w:val="21"/>
              </w:rPr>
              <w:t>统计数</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center"/>
              <w:rPr>
                <w:rFonts w:eastAsia="仿宋_GB2312"/>
                <w:kern w:val="0"/>
                <w:szCs w:val="21"/>
              </w:rPr>
            </w:pP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B41145" w:rsidP="005E0200">
            <w:pPr>
              <w:widowControl/>
              <w:spacing w:line="340" w:lineRule="exact"/>
              <w:jc w:val="center"/>
              <w:rPr>
                <w:rFonts w:eastAsia="仿宋_GB2312"/>
                <w:kern w:val="0"/>
                <w:szCs w:val="21"/>
              </w:rPr>
            </w:pPr>
            <w:r>
              <w:rPr>
                <w:rFonts w:eastAsia="仿宋_GB2312" w:hint="eastAsia"/>
                <w:kern w:val="0"/>
                <w:szCs w:val="21"/>
              </w:rPr>
              <w:t>12</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B41145" w:rsidP="005E0200">
            <w:pPr>
              <w:widowControl/>
              <w:spacing w:line="340" w:lineRule="exact"/>
              <w:jc w:val="center"/>
              <w:rPr>
                <w:rFonts w:eastAsia="仿宋_GB2312"/>
                <w:kern w:val="0"/>
                <w:szCs w:val="21"/>
              </w:rPr>
            </w:pPr>
            <w:r>
              <w:rPr>
                <w:rFonts w:eastAsia="仿宋_GB2312" w:hint="eastAsia"/>
                <w:kern w:val="0"/>
                <w:szCs w:val="21"/>
              </w:rPr>
              <w:t>5</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（三）</w:t>
            </w:r>
            <w:r w:rsidRPr="00C2198F">
              <w:rPr>
                <w:rFonts w:eastAsia="仿宋_GB2312" w:hint="eastAsia"/>
                <w:color w:val="000000" w:themeColor="text1"/>
                <w:kern w:val="0"/>
                <w:szCs w:val="21"/>
              </w:rPr>
              <w:t>规范性文件信息数（与</w:t>
            </w:r>
            <w:r w:rsidRPr="00C2198F">
              <w:rPr>
                <w:rFonts w:eastAsia="仿宋_GB2312"/>
                <w:color w:val="000000" w:themeColor="text1"/>
                <w:kern w:val="0"/>
                <w:szCs w:val="21"/>
              </w:rPr>
              <w:t>“</w:t>
            </w:r>
            <w:r w:rsidRPr="00C2198F">
              <w:rPr>
                <w:rFonts w:eastAsia="仿宋_GB2312" w:hint="eastAsia"/>
                <w:color w:val="000000" w:themeColor="text1"/>
                <w:kern w:val="0"/>
                <w:szCs w:val="21"/>
              </w:rPr>
              <w:t>总表</w:t>
            </w:r>
            <w:r w:rsidRPr="00C2198F">
              <w:rPr>
                <w:rFonts w:eastAsia="仿宋_GB2312"/>
                <w:color w:val="000000" w:themeColor="text1"/>
                <w:kern w:val="0"/>
                <w:szCs w:val="21"/>
              </w:rPr>
              <w:t>”</w:t>
            </w:r>
            <w:r w:rsidRPr="00C2198F">
              <w:rPr>
                <w:rFonts w:eastAsia="仿宋_GB2312" w:hint="eastAsia"/>
                <w:color w:val="000000" w:themeColor="text1"/>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C2198F" w:rsidP="005E0200">
            <w:pPr>
              <w:widowControl/>
              <w:spacing w:line="340" w:lineRule="exact"/>
              <w:jc w:val="center"/>
              <w:rPr>
                <w:rFonts w:eastAsia="仿宋_GB2312"/>
                <w:kern w:val="0"/>
                <w:szCs w:val="21"/>
              </w:rPr>
            </w:pPr>
            <w:r>
              <w:rPr>
                <w:rFonts w:eastAsia="仿宋_GB2312" w:hint="eastAsia"/>
                <w:kern w:val="0"/>
                <w:szCs w:val="21"/>
              </w:rPr>
              <w:t>8</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7B6E68" w:rsidP="005E0200">
            <w:pPr>
              <w:widowControl/>
              <w:spacing w:line="340" w:lineRule="exact"/>
              <w:jc w:val="center"/>
              <w:rPr>
                <w:rFonts w:eastAsia="仿宋_GB2312"/>
                <w:kern w:val="0"/>
                <w:szCs w:val="21"/>
              </w:rPr>
            </w:pPr>
            <w:r>
              <w:rPr>
                <w:rFonts w:eastAsia="仿宋_GB2312" w:hint="eastAsia"/>
                <w:kern w:val="0"/>
                <w:szCs w:val="21"/>
              </w:rPr>
              <w:t>6</w:t>
            </w:r>
            <w:r w:rsidR="00D87C86">
              <w:rPr>
                <w:rFonts w:eastAsia="仿宋_GB2312" w:hint="eastAsia"/>
                <w:kern w:val="0"/>
                <w:szCs w:val="21"/>
              </w:rPr>
              <w:t>5</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B41145"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7B6E68" w:rsidP="005E0200">
            <w:pPr>
              <w:widowControl/>
              <w:spacing w:line="340" w:lineRule="exact"/>
              <w:jc w:val="center"/>
              <w:rPr>
                <w:rFonts w:eastAsia="仿宋_GB2312"/>
                <w:kern w:val="0"/>
                <w:szCs w:val="21"/>
              </w:rPr>
            </w:pPr>
            <w:r>
              <w:rPr>
                <w:rFonts w:eastAsia="仿宋_GB2312" w:hint="eastAsia"/>
                <w:kern w:val="0"/>
                <w:szCs w:val="21"/>
              </w:rPr>
              <w:t>2</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B41145"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B41145"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eastAsia="黑体" w:hint="eastAsia"/>
                <w:kern w:val="0"/>
                <w:szCs w:val="21"/>
              </w:rPr>
              <w:t>二、重点领域信息公开情况</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napToGrid w:val="0"/>
              <w:spacing w:line="340" w:lineRule="exact"/>
              <w:jc w:val="lef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经济预期引导</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围绕省委省政府出台的重要财政政策、就业创业政策开展政策解读数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对发现的涉及我市经济社会发展的误导和不实信息的回应数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7B6E68" w:rsidP="005E0200">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减税、降费、降低</w:t>
            </w:r>
          </w:p>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减税降费政策及贯彻执行情况的公开数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F5498"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重大建设项目</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5E0200">
            <w:pPr>
              <w:widowControl/>
              <w:spacing w:line="340" w:lineRule="exact"/>
              <w:jc w:val="center"/>
              <w:rPr>
                <w:rFonts w:eastAsia="仿宋_GB2312"/>
                <w:kern w:val="0"/>
                <w:szCs w:val="21"/>
              </w:rPr>
            </w:pPr>
            <w:r>
              <w:rPr>
                <w:rFonts w:eastAsia="仿宋_GB2312" w:hint="eastAsia"/>
                <w:kern w:val="0"/>
                <w:szCs w:val="21"/>
              </w:rPr>
              <w:t>2</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E647C1" w:rsidP="005E0200">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lastRenderedPageBreak/>
              <w:t>公共资源配置</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建设工程项目招标投标、政府采购等各类资源交易公告、资格审查、交易过程、成交及履约等情况公开数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7B6E68" w:rsidP="005E0200">
            <w:pPr>
              <w:widowControl/>
              <w:spacing w:line="340" w:lineRule="exact"/>
              <w:jc w:val="center"/>
              <w:rPr>
                <w:rFonts w:eastAsia="仿宋_GB2312"/>
                <w:kern w:val="0"/>
                <w:szCs w:val="21"/>
              </w:rPr>
            </w:pPr>
            <w:r>
              <w:rPr>
                <w:rFonts w:eastAsia="仿宋_GB2312" w:hint="eastAsia"/>
                <w:kern w:val="0"/>
                <w:szCs w:val="21"/>
              </w:rPr>
              <w:t>5</w:t>
            </w:r>
          </w:p>
        </w:tc>
      </w:tr>
      <w:tr w:rsidR="00455B3F" w:rsidRPr="004D7CBC" w:rsidTr="0042671B">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FC5C27">
            <w:pPr>
              <w:widowControl/>
              <w:spacing w:line="340" w:lineRule="exact"/>
              <w:jc w:val="center"/>
              <w:rPr>
                <w:rFonts w:eastAsia="仿宋_GB2312"/>
                <w:kern w:val="0"/>
                <w:szCs w:val="21"/>
              </w:rPr>
            </w:pP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kern w:val="0"/>
                <w:szCs w:val="21"/>
              </w:rPr>
              <w:t>“</w:t>
            </w:r>
            <w:r w:rsidR="005267F6">
              <w:rPr>
                <w:rFonts w:eastAsia="仿宋_GB2312" w:hint="eastAsia"/>
                <w:kern w:val="0"/>
                <w:szCs w:val="21"/>
              </w:rPr>
              <w:t>放管</w:t>
            </w:r>
            <w:bookmarkStart w:id="0" w:name="_GoBack"/>
            <w:bookmarkEnd w:id="0"/>
            <w:r w:rsidRPr="004D7CBC">
              <w:rPr>
                <w:rFonts w:eastAsia="仿宋_GB2312" w:hint="eastAsia"/>
                <w:kern w:val="0"/>
                <w:szCs w:val="21"/>
              </w:rPr>
              <w:t>服</w:t>
            </w:r>
            <w:r w:rsidRPr="004D7CBC">
              <w:rPr>
                <w:rFonts w:eastAsia="仿宋_GB2312"/>
                <w:kern w:val="0"/>
                <w:szCs w:val="21"/>
              </w:rPr>
              <w:t>”</w:t>
            </w:r>
            <w:r w:rsidRPr="004D7CBC">
              <w:rPr>
                <w:rFonts w:eastAsia="仿宋_GB2312" w:hint="eastAsia"/>
                <w:kern w:val="0"/>
                <w:szCs w:val="21"/>
              </w:rPr>
              <w:t>改革</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AD0A41" w:rsidRDefault="00455B3F" w:rsidP="0042671B">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营改增政策、改革进展及成效等公开数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相关收入表及支出表是否按要求公开到相应款级或项级科目</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是否公开本级和本部门（单位）</w:t>
            </w:r>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4</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C5C27" w:rsidP="00FC5C27">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lastRenderedPageBreak/>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267F6">
            <w:pPr>
              <w:widowControl/>
              <w:spacing w:line="340" w:lineRule="exact"/>
              <w:rPr>
                <w:rFonts w:eastAsia="仿宋_GB2312"/>
                <w:kern w:val="0"/>
                <w:szCs w:val="21"/>
              </w:rPr>
            </w:pPr>
            <w:r w:rsidRPr="004D7CBC">
              <w:rPr>
                <w:rFonts w:eastAsia="仿宋_GB2312" w:hint="eastAsia"/>
                <w:kern w:val="0"/>
                <w:szCs w:val="21"/>
              </w:rPr>
              <w:t>与群众密切相关的蔬菜、肉类、粮油等居民生活</w:t>
            </w:r>
            <w:r w:rsidR="005267F6">
              <w:rPr>
                <w:rFonts w:eastAsia="仿宋_GB2312" w:hint="eastAsia"/>
                <w:kern w:val="0"/>
                <w:szCs w:val="21"/>
              </w:rPr>
              <w:t>必需</w:t>
            </w:r>
            <w:r w:rsidRPr="004D7CBC">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ind w:firstLineChars="100" w:firstLine="210"/>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D262BD">
            <w:pPr>
              <w:widowControl/>
              <w:spacing w:line="340" w:lineRule="exact"/>
              <w:jc w:val="center"/>
              <w:rPr>
                <w:rFonts w:eastAsia="仿宋_GB2312"/>
                <w:kern w:val="0"/>
                <w:szCs w:val="21"/>
              </w:rPr>
            </w:pP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3C5111" w:rsidP="003C511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教育卫生领域</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D262BD">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D262BD">
            <w:pPr>
              <w:widowControl/>
              <w:spacing w:line="340" w:lineRule="exact"/>
              <w:jc w:val="center"/>
              <w:rPr>
                <w:rFonts w:eastAsia="仿宋_GB2312"/>
                <w:kern w:val="0"/>
                <w:szCs w:val="21"/>
              </w:rPr>
            </w:pP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w:t>
            </w:r>
            <w:r w:rsidRPr="004D7CBC">
              <w:rPr>
                <w:rFonts w:eastAsia="仿宋_GB2312" w:hint="eastAsia"/>
                <w:kern w:val="0"/>
                <w:szCs w:val="21"/>
              </w:rPr>
              <w:lastRenderedPageBreak/>
              <w:t>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D262BD">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各县（区）辖区内医疗机构是否公开常规医疗服务价格、常用药品和主要医用耗材价格信息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食品药品安全领域</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D262BD">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D262BD">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D262BD">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455B3F" w:rsidRPr="004D7CBC" w:rsidTr="0042671B">
        <w:trPr>
          <w:trHeight w:val="340"/>
        </w:trPr>
        <w:tc>
          <w:tcPr>
            <w:tcW w:w="2055" w:type="dxa"/>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围绕防范金融风险</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是否建立健全政务舆情收集、研判、处置和回应常态化工作机制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D262BD" w:rsidP="00FD6CC1">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1</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455B3F" w:rsidRPr="004D7CBC" w:rsidRDefault="00455B3F" w:rsidP="005E0200">
            <w:pPr>
              <w:widowControl/>
              <w:spacing w:line="340" w:lineRule="exact"/>
              <w:jc w:val="left"/>
              <w:rPr>
                <w:rFonts w:eastAsia="仿宋_GB2312"/>
                <w:kern w:val="0"/>
                <w:szCs w:val="21"/>
              </w:rPr>
            </w:pPr>
            <w:r w:rsidRPr="004D7CBC">
              <w:rPr>
                <w:rFonts w:eastAsia="方正小标宋简体" w:hint="eastAsia"/>
                <w:kern w:val="0"/>
                <w:szCs w:val="21"/>
              </w:rPr>
              <w:t>四、信息公开载体建设情况</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政务微博</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本级（本部门）开设政务微博数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C13625"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已开设政务微博的县（区）个数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FD6CC1">
            <w:pPr>
              <w:widowControl/>
              <w:spacing w:line="340" w:lineRule="exact"/>
              <w:jc w:val="center"/>
              <w:rPr>
                <w:rFonts w:eastAsia="仿宋_GB2312"/>
                <w:kern w:val="0"/>
                <w:szCs w:val="21"/>
              </w:rPr>
            </w:pP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市级部门开设政务微博数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6D33C7"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lastRenderedPageBreak/>
              <w:t>政务微信</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本级（本部门）开设政务微信数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C13625"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已开设政务微信的县（区）个数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FD6CC1">
            <w:pPr>
              <w:widowControl/>
              <w:spacing w:line="340" w:lineRule="exact"/>
              <w:jc w:val="center"/>
              <w:rPr>
                <w:rFonts w:eastAsia="仿宋_GB2312"/>
                <w:kern w:val="0"/>
                <w:szCs w:val="21"/>
              </w:rPr>
            </w:pP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市级部门开设政务微信数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r w:rsidR="00455B3F" w:rsidRPr="004D7CBC" w:rsidTr="0042671B">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455B3F" w:rsidRPr="004D7CBC" w:rsidRDefault="00455B3F" w:rsidP="0042671B">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455B3F" w:rsidRPr="004D7CBC" w:rsidRDefault="00FD6CC1" w:rsidP="00FD6CC1">
            <w:pPr>
              <w:widowControl/>
              <w:spacing w:line="340" w:lineRule="exact"/>
              <w:jc w:val="center"/>
              <w:rPr>
                <w:rFonts w:eastAsia="仿宋_GB2312"/>
                <w:kern w:val="0"/>
                <w:szCs w:val="21"/>
              </w:rPr>
            </w:pPr>
            <w:r>
              <w:rPr>
                <w:rFonts w:eastAsia="仿宋_GB2312" w:hint="eastAsia"/>
                <w:kern w:val="0"/>
                <w:szCs w:val="21"/>
              </w:rPr>
              <w:t>0</w:t>
            </w:r>
          </w:p>
        </w:tc>
      </w:tr>
    </w:tbl>
    <w:p w:rsidR="00455B3F" w:rsidRDefault="00455B3F" w:rsidP="00327F71">
      <w:pPr>
        <w:widowControl/>
        <w:spacing w:line="400" w:lineRule="exact"/>
        <w:ind w:firstLineChars="200" w:firstLine="420"/>
        <w:rPr>
          <w:rFonts w:eastAsia="仿宋_GB2312"/>
          <w:kern w:val="0"/>
          <w:szCs w:val="21"/>
        </w:rPr>
      </w:pPr>
      <w:r>
        <w:rPr>
          <w:rFonts w:eastAsia="仿宋_GB2312" w:hint="eastAsia"/>
          <w:kern w:val="0"/>
          <w:szCs w:val="21"/>
        </w:rPr>
        <w:t>单位负责人：</w:t>
      </w:r>
      <w:r w:rsidR="00577D82">
        <w:rPr>
          <w:rFonts w:eastAsia="仿宋_GB2312" w:hint="eastAsia"/>
          <w:kern w:val="0"/>
          <w:szCs w:val="21"/>
        </w:rPr>
        <w:t>范纯文</w:t>
      </w:r>
      <w:r>
        <w:rPr>
          <w:rFonts w:eastAsia="仿宋_GB2312" w:hint="eastAsia"/>
          <w:kern w:val="0"/>
          <w:szCs w:val="21"/>
        </w:rPr>
        <w:t xml:space="preserve">　　　　　　　　审核人：</w:t>
      </w:r>
      <w:r w:rsidR="00577D82">
        <w:rPr>
          <w:rFonts w:eastAsia="仿宋_GB2312" w:hint="eastAsia"/>
          <w:kern w:val="0"/>
          <w:szCs w:val="21"/>
        </w:rPr>
        <w:t>葛澜</w:t>
      </w:r>
      <w:r>
        <w:rPr>
          <w:rFonts w:eastAsia="仿宋_GB2312" w:hint="eastAsia"/>
          <w:kern w:val="0"/>
          <w:szCs w:val="21"/>
        </w:rPr>
        <w:t xml:space="preserve">　　　　　　</w:t>
      </w:r>
      <w:r w:rsidR="00AF1334">
        <w:rPr>
          <w:rFonts w:eastAsia="仿宋_GB2312" w:hint="eastAsia"/>
          <w:kern w:val="0"/>
          <w:szCs w:val="21"/>
        </w:rPr>
        <w:t xml:space="preserve"> </w:t>
      </w:r>
      <w:r>
        <w:rPr>
          <w:rFonts w:eastAsia="仿宋_GB2312" w:hint="eastAsia"/>
          <w:kern w:val="0"/>
          <w:szCs w:val="21"/>
        </w:rPr>
        <w:t>填报人：</w:t>
      </w:r>
      <w:r w:rsidR="00FD6CC1">
        <w:rPr>
          <w:rFonts w:eastAsia="仿宋_GB2312" w:hint="eastAsia"/>
          <w:kern w:val="0"/>
          <w:szCs w:val="21"/>
        </w:rPr>
        <w:t>童芬</w:t>
      </w:r>
      <w:r>
        <w:rPr>
          <w:rFonts w:eastAsia="仿宋_GB2312"/>
          <w:kern w:val="0"/>
          <w:szCs w:val="21"/>
        </w:rPr>
        <w:t xml:space="preserve"> </w:t>
      </w:r>
    </w:p>
    <w:p w:rsidR="00455B3F" w:rsidRDefault="00455B3F" w:rsidP="00455B3F">
      <w:pPr>
        <w:widowControl/>
        <w:spacing w:line="400" w:lineRule="exact"/>
        <w:ind w:leftChars="200" w:left="420"/>
        <w:rPr>
          <w:rFonts w:eastAsia="仿宋_GB2312"/>
          <w:kern w:val="0"/>
          <w:szCs w:val="21"/>
        </w:rPr>
      </w:pPr>
      <w:r>
        <w:rPr>
          <w:rFonts w:eastAsia="仿宋_GB2312" w:hint="eastAsia"/>
          <w:kern w:val="0"/>
          <w:szCs w:val="21"/>
        </w:rPr>
        <w:t>联系电话：</w:t>
      </w:r>
      <w:r w:rsidR="00FD6CC1">
        <w:rPr>
          <w:rFonts w:eastAsia="仿宋_GB2312" w:hint="eastAsia"/>
          <w:kern w:val="0"/>
          <w:szCs w:val="21"/>
        </w:rPr>
        <w:t xml:space="preserve">18328032305                                      </w:t>
      </w:r>
      <w:r>
        <w:rPr>
          <w:rFonts w:eastAsia="仿宋_GB2312" w:hint="eastAsia"/>
          <w:kern w:val="0"/>
          <w:szCs w:val="21"/>
        </w:rPr>
        <w:t>填报日期：</w:t>
      </w:r>
      <w:r w:rsidR="00FD6CC1">
        <w:rPr>
          <w:rFonts w:eastAsia="仿宋_GB2312" w:hint="eastAsia"/>
          <w:kern w:val="0"/>
          <w:szCs w:val="21"/>
        </w:rPr>
        <w:t>2018.2.9</w:t>
      </w:r>
      <w:r>
        <w:rPr>
          <w:rFonts w:eastAsia="仿宋_GB2312"/>
          <w:kern w:val="0"/>
          <w:szCs w:val="21"/>
        </w:rPr>
        <w:t xml:space="preserve"> </w:t>
      </w:r>
      <w:r>
        <w:rPr>
          <w:rFonts w:eastAsia="仿宋_GB2312"/>
          <w:kern w:val="0"/>
          <w:szCs w:val="21"/>
        </w:rPr>
        <w:br/>
      </w:r>
      <w:r>
        <w:rPr>
          <w:rFonts w:eastAsia="仿宋_GB2312" w:hint="eastAsia"/>
          <w:kern w:val="0"/>
          <w:szCs w:val="21"/>
        </w:rPr>
        <w:t>填表说明：</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1.</w:t>
      </w:r>
      <w:r>
        <w:rPr>
          <w:rFonts w:eastAsia="仿宋_GB2312" w:hint="eastAsia"/>
          <w:kern w:val="0"/>
          <w:szCs w:val="21"/>
        </w:rPr>
        <w:t>表格中统计时间从</w:t>
      </w:r>
      <w:smartTag w:uri="urn:schemas-microsoft-com:office:smarttags" w:element="chsdate">
        <w:smartTagPr>
          <w:attr w:name="IsROCDate" w:val="False"/>
          <w:attr w:name="IsLunarDate" w:val="False"/>
          <w:attr w:name="Day" w:val="1"/>
          <w:attr w:name="Month" w:val="1"/>
          <w:attr w:name="Year" w:val="2017"/>
        </w:smartTagPr>
        <w:r>
          <w:rPr>
            <w:rFonts w:eastAsia="仿宋_GB2312"/>
            <w:kern w:val="0"/>
            <w:szCs w:val="21"/>
          </w:rPr>
          <w:t>2017</w:t>
        </w:r>
        <w:r>
          <w:rPr>
            <w:rFonts w:eastAsia="仿宋_GB2312" w:hint="eastAsia"/>
            <w:kern w:val="0"/>
            <w:szCs w:val="21"/>
          </w:rPr>
          <w:t>年</w:t>
        </w:r>
        <w:r>
          <w:rPr>
            <w:rFonts w:eastAsia="仿宋_GB2312"/>
            <w:kern w:val="0"/>
            <w:szCs w:val="21"/>
          </w:rPr>
          <w:t>1</w:t>
        </w:r>
        <w:r>
          <w:rPr>
            <w:rFonts w:eastAsia="仿宋_GB2312" w:hint="eastAsia"/>
            <w:kern w:val="0"/>
            <w:szCs w:val="21"/>
          </w:rPr>
          <w:t>月</w:t>
        </w:r>
        <w:r>
          <w:rPr>
            <w:rFonts w:eastAsia="仿宋_GB2312"/>
            <w:kern w:val="0"/>
            <w:szCs w:val="21"/>
          </w:rPr>
          <w:t>1</w:t>
        </w:r>
        <w:r>
          <w:rPr>
            <w:rFonts w:eastAsia="仿宋_GB2312" w:hint="eastAsia"/>
            <w:kern w:val="0"/>
            <w:szCs w:val="21"/>
          </w:rPr>
          <w:t>日</w:t>
        </w:r>
      </w:smartTag>
      <w:r>
        <w:rPr>
          <w:rFonts w:eastAsia="仿宋_GB2312" w:hint="eastAsia"/>
          <w:kern w:val="0"/>
          <w:szCs w:val="21"/>
        </w:rPr>
        <w:t>至</w:t>
      </w:r>
      <w:smartTag w:uri="urn:schemas-microsoft-com:office:smarttags" w:element="chsdate">
        <w:smartTagPr>
          <w:attr w:name="IsROCDate" w:val="False"/>
          <w:attr w:name="IsLunarDate" w:val="False"/>
          <w:attr w:name="Day" w:val="31"/>
          <w:attr w:name="Month" w:val="12"/>
          <w:attr w:name="Year" w:val="2017"/>
        </w:smartTagPr>
        <w:r>
          <w:rPr>
            <w:rFonts w:eastAsia="仿宋_GB2312"/>
            <w:kern w:val="0"/>
            <w:szCs w:val="21"/>
          </w:rPr>
          <w:t>2017</w:t>
        </w:r>
        <w:r>
          <w:rPr>
            <w:rFonts w:eastAsia="仿宋_GB2312" w:hint="eastAsia"/>
            <w:kern w:val="0"/>
            <w:szCs w:val="21"/>
          </w:rPr>
          <w:t>年</w:t>
        </w:r>
        <w:r>
          <w:rPr>
            <w:rFonts w:eastAsia="仿宋_GB2312"/>
            <w:kern w:val="0"/>
            <w:szCs w:val="21"/>
          </w:rPr>
          <w:t>12</w:t>
        </w:r>
        <w:r>
          <w:rPr>
            <w:rFonts w:eastAsia="仿宋_GB2312" w:hint="eastAsia"/>
            <w:kern w:val="0"/>
            <w:szCs w:val="21"/>
          </w:rPr>
          <w:t>月</w:t>
        </w:r>
        <w:r>
          <w:rPr>
            <w:rFonts w:eastAsia="仿宋_GB2312"/>
            <w:kern w:val="0"/>
            <w:szCs w:val="21"/>
          </w:rPr>
          <w:t>31</w:t>
        </w:r>
        <w:r>
          <w:rPr>
            <w:rFonts w:eastAsia="仿宋_GB2312" w:hint="eastAsia"/>
            <w:kern w:val="0"/>
            <w:szCs w:val="21"/>
          </w:rPr>
          <w:t>日</w:t>
        </w:r>
      </w:smartTag>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2.</w:t>
      </w:r>
      <w:r>
        <w:rPr>
          <w:rFonts w:eastAsia="仿宋_GB2312" w:hint="eastAsia"/>
          <w:kern w:val="0"/>
          <w:szCs w:val="21"/>
        </w:rPr>
        <w:t>表格中填写</w:t>
      </w:r>
      <w:r>
        <w:rPr>
          <w:rFonts w:eastAsia="仿宋_GB2312"/>
          <w:kern w:val="0"/>
          <w:szCs w:val="21"/>
        </w:rPr>
        <w:t>“</w:t>
      </w:r>
      <w:r>
        <w:rPr>
          <w:rFonts w:eastAsia="仿宋_GB2312" w:hint="eastAsia"/>
          <w:kern w:val="0"/>
          <w:szCs w:val="21"/>
        </w:rPr>
        <w:t>是、否</w:t>
      </w:r>
      <w:r>
        <w:rPr>
          <w:rFonts w:eastAsia="仿宋_GB2312"/>
          <w:kern w:val="0"/>
          <w:szCs w:val="21"/>
        </w:rPr>
        <w:t>”</w:t>
      </w:r>
      <w:r>
        <w:rPr>
          <w:rFonts w:eastAsia="仿宋_GB2312" w:hint="eastAsia"/>
          <w:kern w:val="0"/>
          <w:szCs w:val="21"/>
        </w:rPr>
        <w:t>的统计项，若情况为是，请填写</w:t>
      </w:r>
      <w:r>
        <w:rPr>
          <w:rFonts w:eastAsia="仿宋_GB2312"/>
          <w:kern w:val="0"/>
          <w:szCs w:val="21"/>
        </w:rPr>
        <w:t>“1”</w:t>
      </w:r>
      <w:r>
        <w:rPr>
          <w:rFonts w:eastAsia="仿宋_GB2312" w:hint="eastAsia"/>
          <w:kern w:val="0"/>
          <w:szCs w:val="21"/>
        </w:rPr>
        <w:t>；若情况为否，请填写</w:t>
      </w:r>
      <w:r>
        <w:rPr>
          <w:rFonts w:eastAsia="仿宋_GB2312"/>
          <w:kern w:val="0"/>
          <w:szCs w:val="21"/>
        </w:rPr>
        <w:t>“0”</w:t>
      </w:r>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3.</w:t>
      </w:r>
      <w:r>
        <w:rPr>
          <w:rFonts w:eastAsia="仿宋_GB2312" w:hint="eastAsia"/>
          <w:kern w:val="0"/>
          <w:szCs w:val="21"/>
        </w:rPr>
        <w:t>标注</w:t>
      </w:r>
      <w:r>
        <w:rPr>
          <w:rFonts w:eastAsia="仿宋_GB2312"/>
          <w:kern w:val="0"/>
          <w:szCs w:val="21"/>
        </w:rPr>
        <w:t>“▲”</w:t>
      </w:r>
      <w:r>
        <w:rPr>
          <w:rFonts w:eastAsia="仿宋_GB2312" w:hint="eastAsia"/>
          <w:kern w:val="0"/>
          <w:szCs w:val="21"/>
        </w:rPr>
        <w:t>的指标，不填写。</w:t>
      </w:r>
      <w:r>
        <w:rPr>
          <w:rFonts w:eastAsia="仿宋_GB2312"/>
          <w:kern w:val="0"/>
          <w:szCs w:val="21"/>
        </w:rPr>
        <w:t xml:space="preserve"> </w:t>
      </w:r>
      <w:r>
        <w:rPr>
          <w:rFonts w:eastAsia="仿宋_GB2312"/>
          <w:kern w:val="0"/>
          <w:szCs w:val="21"/>
        </w:rPr>
        <w:br/>
        <w:t xml:space="preserve">    4.</w:t>
      </w:r>
      <w:r>
        <w:rPr>
          <w:rFonts w:eastAsia="仿宋_GB2312" w:hint="eastAsia"/>
          <w:kern w:val="0"/>
          <w:szCs w:val="21"/>
        </w:rPr>
        <w:t>重点领域信息公开情况中的指标解释参照《</w:t>
      </w:r>
      <w:r w:rsidRPr="00A575D1">
        <w:rPr>
          <w:rFonts w:eastAsia="仿宋_GB2312" w:hint="eastAsia"/>
          <w:kern w:val="0"/>
          <w:szCs w:val="21"/>
        </w:rPr>
        <w:t>眉山市东坡区人民政府办公室关于印发眉山市东坡区</w:t>
      </w:r>
      <w:r w:rsidRPr="00A575D1">
        <w:rPr>
          <w:rFonts w:eastAsia="仿宋_GB2312"/>
          <w:kern w:val="0"/>
          <w:szCs w:val="21"/>
        </w:rPr>
        <w:t>2017</w:t>
      </w:r>
      <w:r w:rsidRPr="00A575D1">
        <w:rPr>
          <w:rFonts w:eastAsia="仿宋_GB2312" w:hint="eastAsia"/>
          <w:kern w:val="0"/>
          <w:szCs w:val="21"/>
        </w:rPr>
        <w:t>年政务公开工作实施方案的通知</w:t>
      </w:r>
      <w:r>
        <w:rPr>
          <w:rFonts w:eastAsia="仿宋_GB2312" w:hint="eastAsia"/>
          <w:kern w:val="0"/>
          <w:szCs w:val="21"/>
        </w:rPr>
        <w:t>》（</w:t>
      </w:r>
      <w:r w:rsidRPr="00A575D1">
        <w:rPr>
          <w:rFonts w:eastAsia="仿宋_GB2312" w:hint="eastAsia"/>
          <w:kern w:val="0"/>
          <w:szCs w:val="21"/>
        </w:rPr>
        <w:t>眉东府办函〔</w:t>
      </w:r>
      <w:r w:rsidRPr="00A575D1">
        <w:rPr>
          <w:rFonts w:eastAsia="仿宋_GB2312"/>
          <w:kern w:val="0"/>
          <w:szCs w:val="21"/>
        </w:rPr>
        <w:t>2017</w:t>
      </w:r>
      <w:r w:rsidRPr="00A575D1">
        <w:rPr>
          <w:rFonts w:eastAsia="仿宋_GB2312" w:hint="eastAsia"/>
          <w:kern w:val="0"/>
          <w:szCs w:val="21"/>
        </w:rPr>
        <w:t>〕</w:t>
      </w:r>
      <w:r w:rsidRPr="00A575D1">
        <w:rPr>
          <w:rFonts w:eastAsia="仿宋_GB2312"/>
          <w:kern w:val="0"/>
          <w:szCs w:val="21"/>
        </w:rPr>
        <w:t>113</w:t>
      </w:r>
      <w:r w:rsidRPr="00A575D1">
        <w:rPr>
          <w:rFonts w:eastAsia="仿宋_GB2312" w:hint="eastAsia"/>
          <w:kern w:val="0"/>
          <w:szCs w:val="21"/>
        </w:rPr>
        <w:t>号</w:t>
      </w:r>
      <w:r>
        <w:rPr>
          <w:rFonts w:eastAsia="仿宋_GB2312" w:hint="eastAsia"/>
          <w:kern w:val="0"/>
          <w:szCs w:val="21"/>
        </w:rPr>
        <w:t>），详见东坡区委区政府网“党务政务</w:t>
      </w:r>
      <w:r>
        <w:rPr>
          <w:rFonts w:eastAsia="仿宋_GB2312"/>
          <w:kern w:val="0"/>
          <w:szCs w:val="21"/>
        </w:rPr>
        <w:t>&gt;&gt;</w:t>
      </w:r>
      <w:r>
        <w:rPr>
          <w:rFonts w:eastAsia="仿宋_GB2312" w:hint="eastAsia"/>
          <w:kern w:val="0"/>
          <w:szCs w:val="21"/>
        </w:rPr>
        <w:t>年度要点”栏目。</w:t>
      </w:r>
    </w:p>
    <w:p w:rsidR="00A82533" w:rsidRPr="00455B3F" w:rsidRDefault="00A82533"/>
    <w:sectPr w:rsidR="00A82533" w:rsidRPr="00455B3F" w:rsidSect="00A82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D6" w:rsidRDefault="009541D6" w:rsidP="0041155D">
      <w:r>
        <w:separator/>
      </w:r>
    </w:p>
  </w:endnote>
  <w:endnote w:type="continuationSeparator" w:id="0">
    <w:p w:rsidR="009541D6" w:rsidRDefault="009541D6" w:rsidP="0041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D6" w:rsidRDefault="009541D6" w:rsidP="0041155D">
      <w:r>
        <w:separator/>
      </w:r>
    </w:p>
  </w:footnote>
  <w:footnote w:type="continuationSeparator" w:id="0">
    <w:p w:rsidR="009541D6" w:rsidRDefault="009541D6" w:rsidP="00411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5B3F"/>
    <w:rsid w:val="00061F66"/>
    <w:rsid w:val="000A63F3"/>
    <w:rsid w:val="0010726F"/>
    <w:rsid w:val="0025079D"/>
    <w:rsid w:val="00327F71"/>
    <w:rsid w:val="00355551"/>
    <w:rsid w:val="003C5111"/>
    <w:rsid w:val="003D1398"/>
    <w:rsid w:val="003F5498"/>
    <w:rsid w:val="0040248D"/>
    <w:rsid w:val="0041155D"/>
    <w:rsid w:val="00455B3F"/>
    <w:rsid w:val="004F791A"/>
    <w:rsid w:val="005267F6"/>
    <w:rsid w:val="00543610"/>
    <w:rsid w:val="00577D82"/>
    <w:rsid w:val="005833AA"/>
    <w:rsid w:val="005E0200"/>
    <w:rsid w:val="006A5C8D"/>
    <w:rsid w:val="006D33C7"/>
    <w:rsid w:val="00703C03"/>
    <w:rsid w:val="00771370"/>
    <w:rsid w:val="007B6E68"/>
    <w:rsid w:val="007F61DB"/>
    <w:rsid w:val="00946832"/>
    <w:rsid w:val="009541D6"/>
    <w:rsid w:val="00A82533"/>
    <w:rsid w:val="00AF1334"/>
    <w:rsid w:val="00AF2ADC"/>
    <w:rsid w:val="00B41145"/>
    <w:rsid w:val="00C13625"/>
    <w:rsid w:val="00C2198F"/>
    <w:rsid w:val="00D262BD"/>
    <w:rsid w:val="00D87C86"/>
    <w:rsid w:val="00E647C1"/>
    <w:rsid w:val="00F13526"/>
    <w:rsid w:val="00FC5C27"/>
    <w:rsid w:val="00FD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F5EB4CA-959B-4BF7-93C7-E81E5DB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55D"/>
    <w:rPr>
      <w:rFonts w:ascii="Times New Roman" w:eastAsia="宋体" w:hAnsi="Times New Roman" w:cs="Times New Roman"/>
      <w:sz w:val="18"/>
      <w:szCs w:val="18"/>
    </w:rPr>
  </w:style>
  <w:style w:type="paragraph" w:styleId="a4">
    <w:name w:val="footer"/>
    <w:basedOn w:val="a"/>
    <w:link w:val="Char0"/>
    <w:uiPriority w:val="99"/>
    <w:semiHidden/>
    <w:unhideWhenUsed/>
    <w:rsid w:val="004115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5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581</Words>
  <Characters>3314</Characters>
  <Application>Microsoft Office Word</Application>
  <DocSecurity>0</DocSecurity>
  <Lines>27</Lines>
  <Paragraphs>7</Paragraphs>
  <ScaleCrop>false</ScaleCrop>
  <Company>china</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王晓波</cp:lastModifiedBy>
  <cp:revision>64</cp:revision>
  <dcterms:created xsi:type="dcterms:W3CDTF">2018-02-08T01:44:00Z</dcterms:created>
  <dcterms:modified xsi:type="dcterms:W3CDTF">2025-02-17T08:10:00Z</dcterms:modified>
</cp:coreProperties>
</file>